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  <w:t>Them Sogn - Menighedsrådsmøde</w:t>
      </w:r>
    </w:p>
    <w:p>
      <w:pPr>
        <w:pStyle w:val="Normal"/>
        <w:spacing w:lineRule="auto" w:line="240" w:before="0" w:after="0"/>
        <w:rPr>
          <w:sz w:val="32"/>
          <w:szCs w:val="32"/>
        </w:rPr>
      </w:pPr>
      <w:r>
        <w:rPr>
          <w:sz w:val="32"/>
          <w:szCs w:val="32"/>
        </w:rPr>
        <w:t xml:space="preserve">Beslutningsprotokol </w:t>
      </w:r>
    </w:p>
    <w:p>
      <w:pPr>
        <w:pStyle w:val="Normal"/>
        <w:spacing w:lineRule="auto" w:line="240" w:before="0" w:after="0"/>
        <w:rPr>
          <w:sz w:val="14"/>
          <w:szCs w:val="14"/>
        </w:rPr>
      </w:pPr>
      <w:r>
        <w:rPr>
          <w:sz w:val="14"/>
          <w:szCs w:val="14"/>
        </w:rPr>
      </w:r>
    </w:p>
    <w:tbl>
      <w:tblPr>
        <w:tblStyle w:val="Tabel-Gitter"/>
        <w:tblW w:w="10485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838"/>
        <w:gridCol w:w="5211"/>
        <w:gridCol w:w="1418"/>
        <w:gridCol w:w="2017"/>
      </w:tblGrid>
      <w:tr>
        <w:trPr/>
        <w:tc>
          <w:tcPr>
            <w:tcW w:w="1838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eastAsia="Calibri" w:cs=""/>
                <w:b/>
                <w:bCs/>
                <w:kern w:val="0"/>
                <w:sz w:val="24"/>
                <w:szCs w:val="24"/>
                <w:lang w:val="da-DK" w:eastAsia="en-US" w:bidi="ar-SA"/>
              </w:rPr>
              <w:t>Dato og tid:</w:t>
            </w:r>
          </w:p>
        </w:tc>
        <w:tc>
          <w:tcPr>
            <w:tcW w:w="521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eastAsia="Calibri" w:cs=""/>
                <w:b/>
                <w:bCs/>
                <w:kern w:val="0"/>
                <w:sz w:val="24"/>
                <w:szCs w:val="24"/>
                <w:lang w:val="da-DK" w:eastAsia="en-US" w:bidi="ar-SA"/>
              </w:rPr>
              <w:t>23. marts 2026</w:t>
            </w:r>
          </w:p>
        </w:tc>
        <w:tc>
          <w:tcPr>
            <w:tcW w:w="1418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Slut, ca. kl.</w:t>
            </w:r>
          </w:p>
        </w:tc>
        <w:tc>
          <w:tcPr>
            <w:tcW w:w="20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da-DK" w:eastAsia="en-US" w:bidi="ar-SA"/>
              </w:rPr>
              <w:t>19.00 – 21.30</w:t>
            </w:r>
          </w:p>
        </w:tc>
      </w:tr>
      <w:tr>
        <w:trPr/>
        <w:tc>
          <w:tcPr>
            <w:tcW w:w="1838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eastAsia="Calibri" w:cs=""/>
                <w:b/>
                <w:bCs/>
                <w:kern w:val="0"/>
                <w:sz w:val="24"/>
                <w:szCs w:val="24"/>
                <w:lang w:val="da-DK" w:eastAsia="en-US" w:bidi="ar-SA"/>
              </w:rPr>
              <w:t>Sted:</w:t>
            </w:r>
          </w:p>
        </w:tc>
        <w:tc>
          <w:tcPr>
            <w:tcW w:w="8646" w:type="dxa"/>
            <w:gridSpan w:val="3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da-DK" w:eastAsia="en-US" w:bidi="ar-SA"/>
              </w:rPr>
              <w:t>Them Sognehus</w:t>
            </w:r>
          </w:p>
        </w:tc>
      </w:tr>
      <w:tr>
        <w:trPr/>
        <w:tc>
          <w:tcPr>
            <w:tcW w:w="1838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eastAsia="Calibri" w:cs=""/>
                <w:b/>
                <w:bCs/>
                <w:kern w:val="0"/>
                <w:sz w:val="24"/>
                <w:szCs w:val="24"/>
                <w:lang w:val="da-DK" w:eastAsia="en-US" w:bidi="ar-SA"/>
              </w:rPr>
              <w:t>Deltagere:</w:t>
            </w:r>
          </w:p>
        </w:tc>
        <w:tc>
          <w:tcPr>
            <w:tcW w:w="8646" w:type="dxa"/>
            <w:gridSpan w:val="3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da-DK" w:eastAsia="en-US" w:bidi="ar-SA"/>
              </w:rPr>
              <w:t>Medlemmer af menighedsråd, medarbejderrepræsentant og 2 sognepræster</w:t>
            </w:r>
          </w:p>
        </w:tc>
      </w:tr>
      <w:tr>
        <w:trPr/>
        <w:tc>
          <w:tcPr>
            <w:tcW w:w="1838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eastAsia="Calibri" w:cs=""/>
                <w:b/>
                <w:bCs/>
                <w:kern w:val="0"/>
                <w:sz w:val="24"/>
                <w:szCs w:val="24"/>
                <w:lang w:val="da-DK" w:eastAsia="en-US" w:bidi="ar-SA"/>
              </w:rPr>
              <w:t>Afbud:</w:t>
            </w:r>
          </w:p>
        </w:tc>
        <w:tc>
          <w:tcPr>
            <w:tcW w:w="8646" w:type="dxa"/>
            <w:gridSpan w:val="3"/>
            <w:tcBorders/>
          </w:tcPr>
          <w:p>
            <w:pPr>
              <w:pStyle w:val="Normal"/>
              <w:widowControl/>
              <w:tabs>
                <w:tab w:val="clear" w:pos="1304"/>
                <w:tab w:val="left" w:pos="1420" w:leader="none"/>
              </w:tabs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da-DK" w:eastAsia="en-US" w:bidi="ar-SA"/>
              </w:rPr>
              <w:t>Majbritt</w:t>
            </w:r>
          </w:p>
        </w:tc>
      </w:tr>
      <w:tr>
        <w:trPr/>
        <w:tc>
          <w:tcPr>
            <w:tcW w:w="1838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eastAsia="Calibri" w:cs=""/>
                <w:b/>
                <w:bCs/>
                <w:kern w:val="0"/>
                <w:sz w:val="24"/>
                <w:szCs w:val="24"/>
                <w:lang w:val="da-DK" w:eastAsia="en-US" w:bidi="ar-SA"/>
              </w:rPr>
              <w:t>Referent:</w:t>
            </w:r>
          </w:p>
        </w:tc>
        <w:tc>
          <w:tcPr>
            <w:tcW w:w="8646" w:type="dxa"/>
            <w:gridSpan w:val="3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da-DK" w:eastAsia="en-US" w:bidi="ar-SA"/>
              </w:rPr>
              <w:t>Bodil</w:t>
            </w:r>
          </w:p>
        </w:tc>
      </w:tr>
      <w:tr>
        <w:trPr>
          <w:trHeight w:val="353" w:hRule="atLeast"/>
        </w:trPr>
        <w:tc>
          <w:tcPr>
            <w:tcW w:w="1838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eastAsia="Calibri" w:cs=""/>
                <w:b/>
                <w:bCs/>
                <w:kern w:val="0"/>
                <w:sz w:val="24"/>
                <w:szCs w:val="24"/>
                <w:lang w:val="da-DK" w:eastAsia="en-US" w:bidi="ar-SA"/>
              </w:rPr>
              <w:t>Kaffe mv.</w:t>
            </w:r>
          </w:p>
        </w:tc>
        <w:tc>
          <w:tcPr>
            <w:tcW w:w="8646" w:type="dxa"/>
            <w:gridSpan w:val="3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da-DK" w:eastAsia="en-US" w:bidi="ar-SA"/>
              </w:rPr>
              <w:t>Thomas</w:t>
            </w:r>
          </w:p>
        </w:tc>
      </w:tr>
    </w:tbl>
    <w:p>
      <w:pPr>
        <w:pStyle w:val="Normal"/>
        <w:rPr/>
      </w:pPr>
      <w:r>
        <w:rPr/>
      </w:r>
    </w:p>
    <w:tbl>
      <w:tblPr>
        <w:tblStyle w:val="Tabel-Gitter"/>
        <w:tblW w:w="10777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561"/>
        <w:gridCol w:w="3828"/>
        <w:gridCol w:w="1417"/>
        <w:gridCol w:w="850"/>
        <w:gridCol w:w="3405"/>
        <w:gridCol w:w="709"/>
        <w:gridCol w:w="6"/>
      </w:tblGrid>
      <w:tr>
        <w:trPr>
          <w:trHeight w:val="692" w:hRule="atLeast"/>
        </w:trPr>
        <w:tc>
          <w:tcPr>
            <w:tcW w:w="561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da-DK" w:eastAsia="en-US" w:bidi="ar-SA"/>
              </w:rPr>
              <w:t>Pkt.</w:t>
            </w:r>
          </w:p>
        </w:tc>
        <w:tc>
          <w:tcPr>
            <w:tcW w:w="3828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da-DK" w:eastAsia="en-US" w:bidi="ar-SA"/>
              </w:rPr>
              <w:t>Dagsorden</w:t>
            </w:r>
          </w:p>
        </w:tc>
        <w:tc>
          <w:tcPr>
            <w:tcW w:w="1417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da-DK" w:eastAsia="en-US" w:bidi="ar-SA"/>
              </w:rPr>
              <w:t>Punkt</w:t>
            </w:r>
          </w:p>
        </w:tc>
        <w:tc>
          <w:tcPr>
            <w:tcW w:w="850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da-DK" w:eastAsia="en-US" w:bidi="ar-SA"/>
              </w:rPr>
              <w:t>Min.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da-DK" w:eastAsia="en-US" w:bidi="ar-SA"/>
              </w:rPr>
              <w:t>anslået</w:t>
            </w:r>
          </w:p>
        </w:tc>
        <w:tc>
          <w:tcPr>
            <w:tcW w:w="3405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da-DK" w:eastAsia="en-US" w:bidi="ar-SA"/>
              </w:rPr>
              <w:t>REFERAT</w:t>
            </w:r>
          </w:p>
        </w:tc>
        <w:tc>
          <w:tcPr>
            <w:tcW w:w="709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da-DK" w:eastAsia="en-US" w:bidi="ar-SA"/>
              </w:rPr>
              <w:t>Ansvar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</w:tc>
      </w:tr>
      <w:tr>
        <w:trPr/>
        <w:tc>
          <w:tcPr>
            <w:tcW w:w="10776" w:type="dxa"/>
            <w:gridSpan w:val="7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da-DK" w:eastAsia="en-US" w:bidi="ar-SA"/>
              </w:rPr>
              <w:t>Velkomst og godkendelse af dagsorden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1</w:t>
            </w:r>
          </w:p>
        </w:tc>
        <w:tc>
          <w:tcPr>
            <w:tcW w:w="382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Sang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</w:tc>
        <w:tc>
          <w:tcPr>
            <w:tcW w:w="14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5</w:t>
            </w:r>
          </w:p>
        </w:tc>
        <w:tc>
          <w:tcPr>
            <w:tcW w:w="340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/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Maja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2</w:t>
            </w:r>
          </w:p>
        </w:tc>
        <w:tc>
          <w:tcPr>
            <w:tcW w:w="382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da-DK" w:eastAsia="en-US" w:bidi="ar-SA"/>
              </w:rPr>
              <w:t>Godkendelse af dagsorden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da-DK" w:eastAsia="en-US" w:bidi="ar-SA"/>
              </w:rPr>
              <w:t>alle har mulighed for at byde ind med punkter til dagsordenen – senest 14 dage før til formanden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4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Godkendelse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2</w:t>
            </w:r>
          </w:p>
        </w:tc>
        <w:tc>
          <w:tcPr>
            <w:tcW w:w="3405" w:type="dxa"/>
            <w:tcBorders/>
          </w:tcPr>
          <w:p>
            <w:pPr>
              <w:pStyle w:val="ListParagraph"/>
              <w:widowControl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hanging="0" w:left="720"/>
              <w:contextualSpacing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Dagsorden godkendt.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EB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</w:tc>
      </w:tr>
      <w:tr>
        <w:trPr/>
        <w:tc>
          <w:tcPr>
            <w:tcW w:w="10776" w:type="dxa"/>
            <w:gridSpan w:val="7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da-DK" w:eastAsia="en-US" w:bidi="ar-SA"/>
              </w:rPr>
              <w:t>Tema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3</w:t>
            </w:r>
          </w:p>
        </w:tc>
        <w:tc>
          <w:tcPr>
            <w:tcW w:w="382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da-DK" w:eastAsia="en-US" w:bidi="ar-SA"/>
              </w:rPr>
              <w:t>Tema: Gudstjenesten og den anvendte liturgi?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da-DK" w:eastAsia="en-US" w:bidi="ar-SA"/>
              </w:rPr>
              <w:t>Vi skal drøfte gudstjenesten og gudstjenestens forløb.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da-DK" w:eastAsia="en-US" w:bidi="ar-SA"/>
              </w:rPr>
              <w:t>Menighedsrådet har en central rolle i fastsættelse af gudstjenestens liturgi i folkekirken. Gudstjenesten betragtes som et fælles anliggende mellem præster og menighedsråd.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da-DK" w:eastAsia="en-US" w:bidi="ar-SA"/>
              </w:rPr>
              <w:t>Præsterne har det overordnede ansvar for gudstjenestens teologiske indhold. Men menighedsrådet kan inddrages og give samtykke til ændringer i liturgien.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color w:val="0A0A0A"/>
                <w:sz w:val="20"/>
                <w:szCs w:val="20"/>
              </w:rPr>
            </w:pPr>
            <w:r>
              <w:rPr>
                <w:rFonts w:eastAsia="Calibri" w:cs="Calibri" w:cstheme="minorHAnsi"/>
                <w:color w:val="0A0A0A"/>
                <w:kern w:val="0"/>
                <w:sz w:val="20"/>
                <w:szCs w:val="20"/>
                <w:lang w:val="da-DK" w:eastAsia="en-US" w:bidi="ar-SA"/>
              </w:rPr>
              <w:t>Liturgien for højmessen findes bagest i salmebogen (omkring side 800).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color w:val="0A0A0A"/>
                <w:sz w:val="20"/>
                <w:szCs w:val="20"/>
              </w:rPr>
            </w:pPr>
            <w:r>
              <w:rPr>
                <w:rFonts w:cs="Calibri" w:cstheme="minorHAnsi"/>
                <w:color w:val="0A0A0A"/>
                <w:sz w:val="20"/>
                <w:szCs w:val="20"/>
              </w:rPr>
            </w:r>
          </w:p>
          <w:p>
            <w:pPr>
              <w:pStyle w:val="ListParagraph"/>
              <w:widowControl/>
              <w:numPr>
                <w:ilvl w:val="0"/>
                <w:numId w:val="3"/>
              </w:numPr>
              <w:suppressAutoHyphens w:val="true"/>
              <w:spacing w:lineRule="auto" w:line="240"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eastAsia="Calibri" w:cs="Calibri" w:cstheme="minorHAnsi"/>
                <w:color w:val="0A0A0A"/>
                <w:kern w:val="0"/>
                <w:sz w:val="20"/>
                <w:szCs w:val="20"/>
                <w:lang w:val="da-DK" w:eastAsia="en-US" w:bidi="ar-SA"/>
              </w:rPr>
              <w:t xml:space="preserve">Hvad er/var din </w:t>
            </w:r>
            <w:r>
              <w:rPr>
                <w:rFonts w:eastAsia="Calibri" w:cs="Calibri" w:cstheme="minorHAnsi"/>
                <w:kern w:val="0"/>
                <w:sz w:val="20"/>
                <w:szCs w:val="20"/>
                <w:lang w:val="da-DK" w:eastAsia="en-US" w:bidi="ar-SA"/>
              </w:rPr>
              <w:t>refleksion, hvad tænkte du, da du sidste gang deltog i gudstjenesten?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  <w:p>
            <w:pPr>
              <w:pStyle w:val="ListParagraph"/>
              <w:widowControl/>
              <w:numPr>
                <w:ilvl w:val="0"/>
                <w:numId w:val="3"/>
              </w:numPr>
              <w:suppressAutoHyphens w:val="true"/>
              <w:spacing w:lineRule="auto" w:line="240"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eastAsia="Calibri" w:cs="Calibri" w:cstheme="minorHAnsi"/>
                <w:kern w:val="0"/>
                <w:sz w:val="20"/>
                <w:szCs w:val="20"/>
                <w:lang w:val="da-DK" w:eastAsia="en-US" w:bidi="ar-SA"/>
              </w:rPr>
              <w:t>Hvad er der for ting der sættes pris på ved gudstjenesten og hvilke ting der giver værdi?</w:t>
            </w:r>
          </w:p>
          <w:p>
            <w:pPr>
              <w:pStyle w:val="ListParagraph"/>
              <w:widowControl/>
              <w:numPr>
                <w:ilvl w:val="0"/>
                <w:numId w:val="3"/>
              </w:numPr>
              <w:suppressAutoHyphens w:val="true"/>
              <w:spacing w:lineRule="auto" w:line="240" w:before="0" w:after="0"/>
              <w:contextualSpacing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eastAsia="Calibri" w:cs="Calibri" w:cstheme="minorHAnsi"/>
                <w:kern w:val="0"/>
                <w:sz w:val="20"/>
                <w:szCs w:val="20"/>
                <w:lang w:val="da-DK" w:eastAsia="en-US" w:bidi="ar-SA"/>
              </w:rPr>
              <w:br/>
              <w:t>Hvad vil du ændre/undvære, set fra dit perspektiv?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eastAsia="Calibri" w:cs="Calibri" w:cstheme="minorHAnsi"/>
                <w:kern w:val="0"/>
                <w:sz w:val="20"/>
                <w:szCs w:val="20"/>
                <w:lang w:val="da-DK" w:eastAsia="en-US" w:bidi="ar-SA"/>
              </w:rPr>
              <w:t>Andreas vil komme med et oplæg til denne drøftelse.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Calibri" w:cstheme="minorHAnsi"/>
                <w:sz w:val="20"/>
                <w:szCs w:val="20"/>
              </w:rPr>
            </w:pPr>
            <w:r>
              <w:rPr>
                <w:rFonts w:cs="Calibri" w:cstheme="minorHAnsi"/>
                <w:sz w:val="20"/>
                <w:szCs w:val="20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4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Drøftelse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60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</w:tc>
        <w:tc>
          <w:tcPr>
            <w:tcW w:w="340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Forslag om at lave en vejledning/manual til gudstjenestens liturgi, der kan ligge i kirken.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Temaet fortsættes på et andet møde, hvor der bl.a. skal diskuteres musik og musikvalg ved gudstjenesterne.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ALH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</w:tc>
      </w:tr>
      <w:tr>
        <w:trPr/>
        <w:tc>
          <w:tcPr>
            <w:tcW w:w="10776" w:type="dxa"/>
            <w:gridSpan w:val="7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da-DK" w:eastAsia="en-US" w:bidi="ar-SA"/>
              </w:rPr>
              <w:t>Beslutning, væsentlige drøftelser/debatter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4</w:t>
            </w:r>
          </w:p>
        </w:tc>
        <w:tc>
          <w:tcPr>
            <w:tcW w:w="382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Autospacing="1"/>
              <w:jc w:val="left"/>
              <w:rPr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da-DK" w:eastAsia="en-US" w:bidi="ar-SA"/>
              </w:rPr>
              <w:t>Godkendelse indstilling til reparation af kirkegårdsmur, Them</w:t>
            </w:r>
          </w:p>
          <w:p>
            <w:pPr>
              <w:pStyle w:val="Normal"/>
              <w:widowControl/>
              <w:suppressAutoHyphens w:val="true"/>
              <w:spacing w:lineRule="auto" w:line="240" w:beforeAutospacing="1" w:afterAutospacing="1"/>
              <w:jc w:val="left"/>
              <w:rPr>
                <w:sz w:val="20"/>
                <w:szCs w:val="20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da-DK" w:eastAsia="en-US" w:bidi="ar-SA"/>
              </w:rPr>
              <w:t>På det seneste møde, den 25. februar, gav Thomas os en grundig orientering omkring Kirkegårdsmuren i Them.</w:t>
            </w:r>
          </w:p>
          <w:p>
            <w:pPr>
              <w:pStyle w:val="Normal"/>
              <w:widowControl/>
              <w:suppressAutoHyphens w:val="true"/>
              <w:spacing w:lineRule="auto" w:line="240" w:beforeAutospacing="1" w:afterAutospacing="1"/>
              <w:jc w:val="left"/>
              <w:rPr>
                <w:sz w:val="20"/>
                <w:szCs w:val="20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da-DK" w:eastAsia="en-US" w:bidi="ar-SA"/>
              </w:rPr>
              <w:t>Orienteringen blev givet på baggrund af et oplæg Thomas havde lavet (resume).</w:t>
            </w:r>
          </w:p>
          <w:p>
            <w:pPr>
              <w:pStyle w:val="Normal"/>
              <w:widowControl/>
              <w:suppressAutoHyphens w:val="true"/>
              <w:spacing w:lineRule="auto" w:line="240" w:beforeAutospacing="1" w:afterAutospacing="1"/>
              <w:jc w:val="left"/>
              <w:rPr>
                <w:sz w:val="20"/>
                <w:szCs w:val="20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da-DK" w:eastAsia="en-US" w:bidi="ar-SA"/>
              </w:rPr>
              <w:t>Vi drøftede mulighederne.</w:t>
            </w:r>
          </w:p>
          <w:p>
            <w:pPr>
              <w:pStyle w:val="Normal"/>
              <w:widowControl/>
              <w:suppressAutoHyphens w:val="true"/>
              <w:spacing w:lineRule="auto" w:line="240" w:beforeAutospacing="1" w:afterAutospacing="1"/>
              <w:jc w:val="left"/>
              <w:rPr>
                <w:sz w:val="20"/>
                <w:szCs w:val="20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da-DK" w:eastAsia="en-US" w:bidi="ar-SA"/>
              </w:rPr>
              <w:t>På baggrund af denne drøftelse og de overvejelser, vi hver især har gjort os, skal vi tage stilling til, hvad vil vi som menighedsråd indstille til det videre arbejde med kirkegårdsmuren.</w:t>
            </w:r>
          </w:p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da-DK" w:eastAsia="en-US" w:bidi="ar-SA"/>
              </w:rPr>
              <w:t xml:space="preserve">Bilag: Resume af rapport Ved Thomas. </w:t>
              <w:br/>
            </w:r>
          </w:p>
        </w:tc>
        <w:tc>
          <w:tcPr>
            <w:tcW w:w="14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Drøftelse/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Godkendelse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20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</w:tc>
        <w:tc>
          <w:tcPr>
            <w:tcW w:w="3405" w:type="dxa"/>
            <w:tcBorders/>
          </w:tcPr>
          <w:p>
            <w:pPr>
              <w:pStyle w:val="Normal"/>
              <w:widowControl/>
              <w:suppressAutoHyphens w:val="true"/>
              <w:spacing w:lineRule="auto" w:line="276" w:before="24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Menighedsrådet tager beslutningen om renovering af kirkegårdsmuren til revurdering og tager en indledende dialog med provsten om muligheden for at revurdere det godkendte projekt.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TL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5</w:t>
            </w:r>
          </w:p>
        </w:tc>
        <w:tc>
          <w:tcPr>
            <w:tcW w:w="382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Autospacing="1"/>
              <w:jc w:val="left"/>
              <w:rPr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da-DK" w:eastAsia="en-US" w:bidi="ar-SA"/>
              </w:rPr>
              <w:t>Indstilling til ansættelse af kordegn</w:t>
            </w:r>
          </w:p>
          <w:p>
            <w:pPr>
              <w:pStyle w:val="Normal"/>
              <w:widowControl/>
              <w:suppressAutoHyphens w:val="true"/>
              <w:spacing w:lineRule="auto" w:line="240" w:beforeAutospacing="1" w:afterAutospacing="1"/>
              <w:jc w:val="left"/>
              <w:rPr>
                <w:sz w:val="20"/>
                <w:szCs w:val="20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da-DK" w:eastAsia="en-US" w:bidi="ar-SA"/>
              </w:rPr>
              <w:t>På baggrund af den opslåede stilling har ansættelsesudvalget møde med 5 kandidater den 27. marts 2026.</w:t>
            </w:r>
          </w:p>
          <w:p>
            <w:pPr>
              <w:pStyle w:val="Normal"/>
              <w:widowControl/>
              <w:suppressAutoHyphens w:val="true"/>
              <w:spacing w:lineRule="auto" w:line="240" w:beforeAutospacing="1" w:afterAutospacing="1"/>
              <w:jc w:val="left"/>
              <w:rPr>
                <w:sz w:val="20"/>
                <w:szCs w:val="20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da-DK" w:eastAsia="en-US" w:bidi="ar-SA"/>
              </w:rPr>
              <w:t>I udgangspunktet skal ansættelsens godkendes af det samlede menighedsråd (møde).</w:t>
            </w:r>
          </w:p>
          <w:p>
            <w:pPr>
              <w:pStyle w:val="Normal"/>
              <w:widowControl/>
              <w:suppressAutoHyphens w:val="true"/>
              <w:spacing w:lineRule="auto" w:line="240" w:beforeAutospacing="1" w:afterAutospacing="1"/>
              <w:jc w:val="left"/>
              <w:rPr>
                <w:sz w:val="20"/>
                <w:szCs w:val="20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da-DK" w:eastAsia="en-US" w:bidi="ar-SA"/>
              </w:rPr>
              <w:t xml:space="preserve">Det foreslås at ansættelsesudvalget gennemfører samtaler og indstiller en kandidat. </w:t>
              <w:br/>
              <w:br/>
              <w:t>Menighedsrådet godkender ansættelsen på det førstkommende menighedsrådsmøde, med en stående bemyndigelse til at personaleansvarlige forhandler kontrakt med den valgte kandidat under forudsætning af endelig godkendelse.</w:t>
            </w:r>
          </w:p>
          <w:p>
            <w:pPr>
              <w:pStyle w:val="Normal"/>
              <w:widowControl/>
              <w:suppressAutoHyphens w:val="true"/>
              <w:spacing w:lineRule="auto" w:line="240" w:beforeAutospacing="1" w:afterAutospacing="1"/>
              <w:jc w:val="left"/>
              <w:rPr>
                <w:sz w:val="20"/>
                <w:szCs w:val="20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da-DK" w:eastAsia="en-US" w:bidi="ar-SA"/>
              </w:rPr>
              <w:t>Alternativ indkaldes til ekstraordinært møde mandag den 30. marts for godkendelse af indstilling/ansættelse.</w:t>
            </w:r>
          </w:p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rFonts w:cs="Calibri" w:cstheme="minorHAnsi"/>
                <w:color w:val="414141"/>
                <w:sz w:val="20"/>
                <w:szCs w:val="20"/>
              </w:rPr>
            </w:pPr>
            <w:r>
              <w:rPr>
                <w:rFonts w:cs="Calibri" w:cstheme="minorHAnsi"/>
                <w:color w:val="414141"/>
                <w:sz w:val="20"/>
                <w:szCs w:val="20"/>
              </w:rPr>
            </w:r>
          </w:p>
        </w:tc>
        <w:tc>
          <w:tcPr>
            <w:tcW w:w="14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Godkendelse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15</w:t>
            </w:r>
          </w:p>
        </w:tc>
        <w:tc>
          <w:tcPr>
            <w:tcW w:w="340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da-DK" w:eastAsia="en-US" w:bidi="ar-SA"/>
              </w:rPr>
              <w:t>Menighedsrådet godkender, at ansættelsesudvalget gennemfører samtaler og indstiller en kandidat.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Ena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</w:tc>
      </w:tr>
      <w:tr>
        <w:trPr/>
        <w:tc>
          <w:tcPr>
            <w:tcW w:w="10776" w:type="dxa"/>
            <w:gridSpan w:val="7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da-DK" w:eastAsia="en-US" w:bidi="ar-SA"/>
              </w:rPr>
              <w:t>Efterretninger/</w:t>
            </w:r>
            <w:r>
              <w:rPr>
                <w:rFonts w:eastAsia="Calibri" w:cs=""/>
                <w:b/>
                <w:bCs/>
                <w:kern w:val="0"/>
                <w:sz w:val="22"/>
                <w:szCs w:val="22"/>
                <w:shd w:fill="D9D9D9" w:val="clear"/>
                <w:lang w:val="da-DK" w:eastAsia="en-US" w:bidi="ar-SA"/>
              </w:rPr>
              <w:t>generelle orienteringer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6</w:t>
            </w:r>
          </w:p>
        </w:tc>
        <w:tc>
          <w:tcPr>
            <w:tcW w:w="382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Autospacing="1" w:afterAutospacing="1"/>
              <w:jc w:val="left"/>
              <w:rPr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da-DK" w:eastAsia="en-US" w:bidi="ar-SA"/>
              </w:rPr>
              <w:t>Reparation af Sydmuren ved Brande Kirke</w:t>
            </w:r>
          </w:p>
          <w:p>
            <w:pPr>
              <w:pStyle w:val="Normal"/>
              <w:widowControl/>
              <w:suppressAutoHyphens w:val="true"/>
              <w:spacing w:lineRule="auto" w:line="240" w:beforeAutospacing="1" w:afterAutospacing="1"/>
              <w:jc w:val="left"/>
              <w:rPr>
                <w:sz w:val="20"/>
                <w:szCs w:val="20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da-DK" w:eastAsia="en-US" w:bidi="ar-SA"/>
              </w:rPr>
              <w:t>På baggrund af menighedsrådet seneste indstilling har Provstiudvalget godkendt udførelse af arbejdet med reparation af Sydmuren.</w:t>
            </w:r>
          </w:p>
          <w:p>
            <w:pPr>
              <w:pStyle w:val="Normal"/>
              <w:widowControl/>
              <w:suppressAutoHyphens w:val="true"/>
              <w:spacing w:lineRule="auto" w:line="240" w:beforeAutospacing="1" w:afterAutospacing="1"/>
              <w:jc w:val="left"/>
              <w:rPr>
                <w:sz w:val="20"/>
                <w:szCs w:val="20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da-DK" w:eastAsia="en-US" w:bidi="ar-SA"/>
              </w:rPr>
              <w:t>Opgaven kan hermed igangsættes.</w:t>
            </w:r>
          </w:p>
          <w:p>
            <w:pPr>
              <w:pStyle w:val="Normal"/>
              <w:widowControl/>
              <w:suppressAutoHyphens w:val="true"/>
              <w:spacing w:lineRule="auto" w:line="240" w:beforeAutospacing="1" w:after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4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Efterretning og igangsætning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10</w:t>
            </w:r>
          </w:p>
        </w:tc>
        <w:tc>
          <w:tcPr>
            <w:tcW w:w="340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Taget til efterretning.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Opgaven igangsættes efter d. 19/4.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TL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7</w:t>
            </w:r>
          </w:p>
        </w:tc>
        <w:tc>
          <w:tcPr>
            <w:tcW w:w="382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da-DK" w:eastAsia="en-US" w:bidi="ar-SA"/>
              </w:rPr>
              <w:t>Generel orientering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da-DK" w:eastAsia="en-US" w:bidi="ar-SA"/>
              </w:rPr>
              <w:t>Kort orientering fra</w:t>
            </w:r>
          </w:p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left"/>
              <w:rPr>
                <w:sz w:val="20"/>
                <w:szCs w:val="20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da-DK" w:eastAsia="en-US" w:bidi="ar-SA"/>
              </w:rPr>
              <w:t>Formanden</w:t>
            </w:r>
          </w:p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left"/>
              <w:rPr>
                <w:sz w:val="20"/>
                <w:szCs w:val="20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da-DK" w:eastAsia="en-US" w:bidi="ar-SA"/>
              </w:rPr>
              <w:t>Kirkeværgen</w:t>
            </w:r>
          </w:p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left"/>
              <w:rPr>
                <w:sz w:val="20"/>
                <w:szCs w:val="20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da-DK" w:eastAsia="en-US" w:bidi="ar-SA"/>
              </w:rPr>
              <w:t>Kontaktperson</w:t>
            </w:r>
          </w:p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left"/>
              <w:rPr>
                <w:sz w:val="20"/>
                <w:szCs w:val="20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da-DK" w:eastAsia="en-US" w:bidi="ar-SA"/>
              </w:rPr>
              <w:t>Kasserer</w:t>
            </w:r>
          </w:p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left"/>
              <w:rPr>
                <w:sz w:val="20"/>
                <w:szCs w:val="20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da-DK" w:eastAsia="en-US" w:bidi="ar-SA"/>
              </w:rPr>
              <w:t>Præsterne</w:t>
            </w:r>
          </w:p>
          <w:p>
            <w:pPr>
              <w:pStyle w:val="ListParagraph"/>
              <w:widowControl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left"/>
              <w:rPr>
                <w:sz w:val="20"/>
                <w:szCs w:val="20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da-DK" w:eastAsia="en-US" w:bidi="ar-SA"/>
              </w:rPr>
              <w:t>Menighedsrådets øvrige medlemmer/udvalg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4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orientering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15</w:t>
            </w:r>
          </w:p>
        </w:tc>
        <w:tc>
          <w:tcPr>
            <w:tcW w:w="340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Formand: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Der er biskopvalg ml. Esben Thusgaard og Thomas Frank.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Erling har været til formandsmøde i provstiet, hvor provstiskyen blev gennemgået.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Kirkeværgen: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Them Kirke bliver kalket i år.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Kontaktperson: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Modtaget ansøgning fra Jost ift. udstyr og software. Det tages op på næste ØKP møde.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Kasserer: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Budgettet skal være godkendt inden 15. juni.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Præsten: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Nyt arrangement i aktivitetsudvalget: ”Spis, Syng,Snak”. Første gang 3/6-2026.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Koncerten Lysets Frembrud gik rigtig godt.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Der skal lave nøgler til Susanne og Birgit. Erling ansvarlig.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Anne: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Deltog i mødet - Dialogmøde om fritidslivet for unge i Them.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Det tages op i aktivitetsudvalget.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Alle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</w:tc>
      </w:tr>
      <w:tr>
        <w:trPr/>
        <w:tc>
          <w:tcPr>
            <w:tcW w:w="10776" w:type="dxa"/>
            <w:gridSpan w:val="7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da-DK" w:eastAsia="en-US" w:bidi="ar-SA"/>
              </w:rPr>
              <w:t>Nyt fra medlemmerne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8</w:t>
            </w:r>
          </w:p>
        </w:tc>
        <w:tc>
          <w:tcPr>
            <w:tcW w:w="382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da-DK" w:eastAsia="en-US" w:bidi="ar-SA"/>
              </w:rPr>
              <w:t>Mulighed for at dele tanker, forslag og spørgsmål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da-DK" w:eastAsia="en-US" w:bidi="ar-SA"/>
              </w:rPr>
              <w:t>Herunder forslag til kommende temadebat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4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drøftelse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10</w:t>
            </w:r>
          </w:p>
        </w:tc>
        <w:tc>
          <w:tcPr>
            <w:tcW w:w="3405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Jost kommer til temadebat om musik og salmevalg.</w:t>
            </w:r>
          </w:p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Gæsteoplevelsen i folkekirken.</w:t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Alle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</w:tc>
      </w:tr>
      <w:tr>
        <w:trPr/>
        <w:tc>
          <w:tcPr>
            <w:tcW w:w="10776" w:type="dxa"/>
            <w:gridSpan w:val="7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da-DK" w:eastAsia="en-US" w:bidi="ar-SA"/>
              </w:rPr>
              <w:t>Eventuelt og næste møde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9</w:t>
            </w:r>
          </w:p>
        </w:tc>
        <w:tc>
          <w:tcPr>
            <w:tcW w:w="382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da-DK" w:eastAsia="en-US" w:bidi="ar-SA"/>
              </w:rPr>
              <w:t>Eventuelt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da-DK" w:eastAsia="en-US" w:bidi="ar-SA"/>
              </w:rPr>
              <w:t>Eventuelt og måske allerede nu punkter til kommende møder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4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orientering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2</w:t>
            </w:r>
          </w:p>
        </w:tc>
        <w:tc>
          <w:tcPr>
            <w:tcW w:w="340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Der er syet duge til bordene i sognehuset. De skal bruges til arrangementer i Them Kirke regi. De kan ikke lejes til fester.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Der er ikke indberettet aktiviteter til provstiskyen for 2025. Andreas ansvarlig.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Alle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10</w:t>
            </w:r>
          </w:p>
        </w:tc>
        <w:tc>
          <w:tcPr>
            <w:tcW w:w="382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da-DK" w:eastAsia="en-US" w:bidi="ar-SA"/>
              </w:rPr>
              <w:t>Næste møde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da-DK" w:eastAsia="en-US" w:bidi="ar-SA"/>
              </w:rPr>
              <w:t>Torsdag den 23. april 2026</w:t>
              <w:br/>
            </w:r>
          </w:p>
        </w:tc>
        <w:tc>
          <w:tcPr>
            <w:tcW w:w="141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orientering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  <w:t>2</w:t>
            </w:r>
          </w:p>
        </w:tc>
        <w:tc>
          <w:tcPr>
            <w:tcW w:w="340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</w:tc>
        <w:tc>
          <w:tcPr>
            <w:tcW w:w="70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</w:tc>
      </w:tr>
      <w:tr>
        <w:trPr/>
        <w:tc>
          <w:tcPr>
            <w:tcW w:w="10770" w:type="dxa"/>
            <w:gridSpan w:val="6"/>
            <w:tcBorders/>
            <w:shd w:color="auto" w:fill="D9D9D9" w:themeFill="background1" w:themeFillShade="d9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da-DK" w:eastAsia="en-US" w:bidi="ar-SA"/>
              </w:rPr>
              <w:t>Lukkede punkter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da-DK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da-DK" w:eastAsia="en-US" w:bidi="ar-SA"/>
              </w:rPr>
            </w:r>
          </w:p>
        </w:tc>
      </w:tr>
    </w:tbl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720" w:right="720" w:gutter="0" w:header="0" w:top="720" w:footer="0" w:bottom="72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  <w:font w:name="Calibri">
    <w:charset w:val="01"/>
    <w:family w:val="swiss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9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  <w:rFonts w:eastAsiaTheme="minorHAnsi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26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  <w:rFonts w:eastAsiaTheme="minorHAnsi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59"/>
  <w:defaultTabStop w:val="1304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da-D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da-DK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da-DK" w:eastAsia="en-US" w:bidi="ar-SA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Hyperlink">
    <w:name w:val="Hyperlink"/>
    <w:basedOn w:val="DefaultParagraphFont"/>
    <w:uiPriority w:val="99"/>
    <w:unhideWhenUsed/>
    <w:rsid w:val="00eb4c94"/>
    <w:rPr>
      <w:color w:themeColor="hyperlink"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eb4c94"/>
    <w:rPr>
      <w:color w:val="605E5C"/>
      <w:shd w:fill="E1DFDD" w:val="clear"/>
    </w:rPr>
  </w:style>
  <w:style w:type="character" w:styleId="vkekvd" w:customStyle="1">
    <w:name w:val="vkekvd"/>
    <w:basedOn w:val="DefaultParagraphFont"/>
    <w:qFormat/>
    <w:rsid w:val="009c2f16"/>
    <w:rPr/>
  </w:style>
  <w:style w:type="character" w:styleId="ifmvxd" w:customStyle="1">
    <w:name w:val="ifmvxd"/>
    <w:basedOn w:val="DefaultParagraphFont"/>
    <w:qFormat/>
    <w:rsid w:val="009c2f16"/>
    <w:rPr/>
  </w:style>
  <w:style w:type="paragraph" w:styleId="Overskrift">
    <w:name w:val="Overskrift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Registerfortegnelse">
    <w:name w:val="Register/fortegnelse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1313ca"/>
    <w:pPr>
      <w:spacing w:before="0" w:after="160"/>
      <w:ind w:left="72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8c0854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da-DK"/>
    </w:rPr>
  </w:style>
  <w:style w:type="numbering" w:styleId="Ingenliste" w:default="1">
    <w:name w:val="Ingen liste"/>
    <w:uiPriority w:val="99"/>
    <w:semiHidden/>
    <w:unhideWhenUsed/>
    <w:qFormat/>
  </w:style>
  <w:style w:type="table" w:default="1" w:styleId="Tabel-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-Gitter">
    <w:name w:val="Table Grid"/>
    <w:basedOn w:val="Tabel-Normal"/>
    <w:uiPriority w:val="39"/>
    <w:rsid w:val="005361fa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-tema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Application>LibreOffice/24.2.7.2$Linux_X86_64 LibreOffice_project/420$Build-2</Application>
  <AppVersion>15.0000</AppVersion>
  <Pages>4</Pages>
  <Words>685</Words>
  <Characters>4089</Characters>
  <CharactersWithSpaces>4636</CharactersWithSpaces>
  <Paragraphs>136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2026-03-15T10:33:00Z</dcterms:created>
  <dc:creator>Peter Rust Nørgaard</dc:creator>
  <dc:description/>
  <dc:language>da-DK</dc:language>
  <cp:lastModifiedBy/>
  <cp:lastPrinted>2026-02-16T10:30:00Z</cp:lastPrinted>
  <dcterms:modified xsi:type="dcterms:W3CDTF">2026-03-23T21:45:28Z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